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1B" w:rsidRPr="00D7561B" w:rsidRDefault="00D7561B" w:rsidP="00D7561B">
      <w:pPr>
        <w:spacing w:before="100" w:beforeAutospacing="1" w:after="100" w:afterAutospacing="1" w:line="240" w:lineRule="auto"/>
        <w:jc w:val="left"/>
        <w:outlineLvl w:val="1"/>
        <w:rPr>
          <w:rFonts w:ascii="Times New Roman" w:eastAsia="Times New Roman" w:hAnsi="Times New Roman"/>
          <w:b/>
          <w:bCs/>
          <w:sz w:val="36"/>
          <w:szCs w:val="36"/>
        </w:rPr>
      </w:pPr>
      <w:r w:rsidRPr="00D7561B">
        <w:rPr>
          <w:rFonts w:ascii="Times New Roman" w:eastAsia="Times New Roman" w:hAnsi="Times New Roman"/>
          <w:b/>
          <w:bCs/>
          <w:sz w:val="36"/>
          <w:szCs w:val="36"/>
        </w:rPr>
        <w:t>Stěhuji se, kam změnu (ne)hlásit?</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xml:space="preserve">Už od poloviny roku 2012 se můžete spolehnout na tzv. základní registry, které zajišťují, že už nemusíte obíhat všechny úřady a hlásit změnu na každém úřadě zvlášť. Většina úřadů si data, která potřebuje, předává díky registrům mezi sebou automaticky. Následujícím textem nás provede Jan Novák. </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První krok - místně příslušný obecní úřad.  </w:t>
      </w:r>
    </w:p>
    <w:p w:rsidR="00C52F3A"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1209675" cy="1076325"/>
            <wp:effectExtent l="19050" t="0" r="9525" b="0"/>
            <wp:docPr id="4" name="obrázek 4" descr="obecn_______ad.png">
              <a:hlinkClick xmlns:a="http://schemas.openxmlformats.org/drawingml/2006/main" r:id="rId5" tooltip="&quot;Ministerstvo vnitra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ecn_______ad.png">
                      <a:hlinkClick r:id="rId5" tooltip="&quot;Ministerstvo vnitra ČR&quot;"/>
                    </pic:cNvPr>
                    <pic:cNvPicPr>
                      <a:picLocks noChangeAspect="1" noChangeArrowheads="1"/>
                    </pic:cNvPicPr>
                  </pic:nvPicPr>
                  <pic:blipFill>
                    <a:blip r:embed="rId6" cstate="print"/>
                    <a:srcRect/>
                    <a:stretch>
                      <a:fillRect/>
                    </a:stretch>
                  </pic:blipFill>
                  <pic:spPr bwMode="auto">
                    <a:xfrm>
                      <a:off x="0" y="0"/>
                      <a:ext cx="1209675" cy="1076325"/>
                    </a:xfrm>
                    <a:prstGeom prst="rect">
                      <a:avLst/>
                    </a:prstGeom>
                    <a:noFill/>
                    <a:ln w="9525">
                      <a:noFill/>
                      <a:miter lim="800000"/>
                      <a:headEnd/>
                      <a:tailEnd/>
                    </a:ln>
                  </pic:spPr>
                </pic:pic>
              </a:graphicData>
            </a:graphic>
          </wp:inline>
        </w:drawing>
      </w:r>
      <w:r w:rsidRPr="00D7561B">
        <w:rPr>
          <w:rFonts w:ascii="Times New Roman" w:eastAsia="Times New Roman" w:hAnsi="Times New Roman"/>
          <w:b/>
          <w:bCs/>
          <w:sz w:val="24"/>
        </w:rPr>
        <w:t>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Jan Novák se přestěhoval. Jeho první zastávkou je obecní úřad v místě nového trvalého pobytu. Vyplní tam a podepíše přihlašovací lístek k trvalému pobytu. Předloží platný občanský průkaz a doklad, který ho opravňuje užívat byt nebo dům (např. výpis z katastru nemovitostí, kupní smlouvu, nájemní smlouvu) anebo úředně ověřené písemné potvrzení oprávněné osoby (např. majitele nemovitosti) o souhlasu s ohlášením změny místa trvalého pobytu a opět doklad, který to dokazuje (např. výpis z katastru nemovitostí). Úředně ověřené potvrzení se nevyžaduje v případě, že oprávněná osoba potvrdí svůj souhlas na přihlašovacím tiskopisu přímo na úřadu a předloží i doklad o oprávněnosti užívání bytu či domu. Dále je povinností Jana Nováka požádat o nový občanský průkaz na obecním úřadě s rozšířenou působností podle místa nového trvalého pobytu.</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Katastrální úřad.</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1666875" cy="685800"/>
            <wp:effectExtent l="19050" t="0" r="9525" b="0"/>
            <wp:docPr id="5" name="obrázek 5" descr="__uzk.png">
              <a:hlinkClick xmlns:a="http://schemas.openxmlformats.org/drawingml/2006/main" r:id="rId7" tooltip="ČÚZ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_uzk.png">
                      <a:hlinkClick r:id="rId7" tooltip="ČÚZK"/>
                    </pic:cNvPr>
                    <pic:cNvPicPr>
                      <a:picLocks noChangeAspect="1" noChangeArrowheads="1"/>
                    </pic:cNvPicPr>
                  </pic:nvPicPr>
                  <pic:blipFill>
                    <a:blip r:embed="rId8" cstate="print"/>
                    <a:srcRect/>
                    <a:stretch>
                      <a:fillRect/>
                    </a:stretch>
                  </pic:blipFill>
                  <pic:spPr bwMode="auto">
                    <a:xfrm>
                      <a:off x="0" y="0"/>
                      <a:ext cx="1666875" cy="685800"/>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xml:space="preserve">Na katastrální úřad nemusí Jan Novák nic oznamovat. Data si tento úřad aktualizuje automaticky. Správnost nové adresy je možné ověřit na veřejném portále Českého úřadu zeměměřického a katastrálního v sekci „Nahlížení do katastru nemovitostí“ </w:t>
      </w:r>
      <w:hyperlink r:id="rId9" w:history="1">
        <w:r w:rsidRPr="00D7561B">
          <w:rPr>
            <w:rFonts w:ascii="Times New Roman" w:eastAsia="Times New Roman" w:hAnsi="Times New Roman"/>
            <w:color w:val="0000FF"/>
            <w:sz w:val="24"/>
            <w:u w:val="single"/>
          </w:rPr>
          <w:t>http://nahlizenidokn.cuzk.cz/</w:t>
        </w:r>
      </w:hyperlink>
      <w:r w:rsidRPr="00D7561B">
        <w:rPr>
          <w:rFonts w:ascii="Times New Roman" w:eastAsia="Times New Roman" w:hAnsi="Times New Roman"/>
          <w:sz w:val="24"/>
        </w:rPr>
        <w:t>.</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Zdravotní pojišťovna.</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2905125" cy="1371600"/>
            <wp:effectExtent l="19050" t="0" r="9525" b="0"/>
            <wp:docPr id="6" name="obrázek 6" descr="zdravotn___poji____ovna.png">
              <a:hlinkClick xmlns:a="http://schemas.openxmlformats.org/drawingml/2006/main" r:id="rId10" tooltip="&quot;Ministerstvo zdravotnictví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ravotn___poji____ovna.png">
                      <a:hlinkClick r:id="rId10" tooltip="&quot;Ministerstvo zdravotnictví ČR&quot;"/>
                    </pic:cNvPr>
                    <pic:cNvPicPr>
                      <a:picLocks noChangeAspect="1" noChangeArrowheads="1"/>
                    </pic:cNvPicPr>
                  </pic:nvPicPr>
                  <pic:blipFill>
                    <a:blip r:embed="rId11" cstate="print"/>
                    <a:srcRect/>
                    <a:stretch>
                      <a:fillRect/>
                    </a:stretch>
                  </pic:blipFill>
                  <pic:spPr bwMode="auto">
                    <a:xfrm>
                      <a:off x="0" y="0"/>
                      <a:ext cx="2905125" cy="1371600"/>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lastRenderedPageBreak/>
        <w:t>I když jsou k základním registrům připojeny všechny tuzemské zdravotní pojišťovny, stále však platí pro Jana Nováka oznamovací povinnost dle zákona o veřejném zdravotním pojištění. Musí tedy do 30 dnů od přestěhování tuto změnu své pojišťovně oznámit bez ohledu na to, zda pojišťovna provede změnu sama. Pokud je situace, že se Jan Novák v místě trvalého pobytu nezdržuje, je povinen příslušné zdravotní pojišťovně oznámit také adresu místa pobytu na území ČR, kde se převážně zdržuje.</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Finanční úřad.</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143000" cy="762000"/>
            <wp:effectExtent l="19050" t="0" r="0" b="0"/>
            <wp:docPr id="7" name="obrázek 7" descr="financni_sprava_logo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ncni_sprava_logo_1_.jpg"/>
                    <pic:cNvPicPr>
                      <a:picLocks noChangeAspect="1" noChangeArrowheads="1"/>
                    </pic:cNvPicPr>
                  </pic:nvPicPr>
                  <pic:blipFill>
                    <a:blip r:embed="rId12"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Všechny finanční úřady jsou k základním registrům napojeny. Dejte ale pozor na to, že finanční úřady rozlišují, zda v daňovém řízení je daňový subjekt (v našem případě Jan Novák) u finančního úřadu registrován či nikoliv. Též je nutné rozlišovat, zda se daňový subjekt přestěhuje v rámci územní působnosti finančního úřadu (tj. v rámci kraje, resp. v rámci Prahy) či mimo tuto územní působnost (např. z Prahy do Brna).</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Pokud se Jan Novák přestěhuje mimo územní působnost finančního úřadu a u finančního úřadu není registrován, zašle původně místně příslušný finanční úřad Janu Novákovi oznámení o změně místní příslušnosti (ve kterém mimo jiné uvede, u kterého územního pracoviště příslušného finančního úřadu bude uložen jeho daňový spis). Pokud se však jedná o registrovaný daňový subjekt, který se přestěhuje mimo územní působnost finančního úřadu, vydá finanční úřad rozhodnutí o stanovení data konce místní příslušnosti a teprve tímto datem, tedy dnem výslovně uvedeným v tomto rozhodnutí, přechází místní příslušnost na finanční úřad podle nové adresy trvalého pobytu Jana Nováka. Pokud se Jan Novák přestěhuje v rámci územní působnosti finančního úřadu (např. z Děčína do Litoměřic), bude jeho daně spravovat totožný finanční úřad, avšak jeho spis bude ve většině případů přesunut na jiné územní pracoviště tohoto finančního úřadu.</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Speciální kategorií jsou daňové subjekty, jejichž místní příslušnost byla před přestěhováním delegována. Po přestěhování Jana Nováka v takovémto případě tak nedoje automaticky ke změně finančního úřadu, ale musí být rozhodnuto o zrušení, změně nebo potvrzení delegace.</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Řidičský průkaz a registr vozidel.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1457325" cy="600075"/>
            <wp:effectExtent l="19050" t="0" r="9525" b="0"/>
            <wp:docPr id="8" name="obrázek 8" descr="min._dopravy.png">
              <a:hlinkClick xmlns:a="http://schemas.openxmlformats.org/drawingml/2006/main" r:id="rId13" tooltip="&quot;Ministerstvo dopravy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_dopravy.png">
                      <a:hlinkClick r:id="rId13" tooltip="&quot;Ministerstvo dopravy ČR&quot;"/>
                    </pic:cNvPr>
                    <pic:cNvPicPr>
                      <a:picLocks noChangeAspect="1" noChangeArrowheads="1"/>
                    </pic:cNvPicPr>
                  </pic:nvPicPr>
                  <pic:blipFill>
                    <a:blip r:embed="rId14" cstate="print"/>
                    <a:srcRect/>
                    <a:stretch>
                      <a:fillRect/>
                    </a:stretch>
                  </pic:blipFill>
                  <pic:spPr bwMode="auto">
                    <a:xfrm>
                      <a:off x="0" y="0"/>
                      <a:ext cx="1457325" cy="600075"/>
                    </a:xfrm>
                    <a:prstGeom prst="rect">
                      <a:avLst/>
                    </a:prstGeom>
                    <a:noFill/>
                    <a:ln w="9525">
                      <a:noFill/>
                      <a:miter lim="800000"/>
                      <a:headEnd/>
                      <a:tailEnd/>
                    </a:ln>
                  </pic:spPr>
                </pic:pic>
              </a:graphicData>
            </a:graphic>
          </wp:inline>
        </w:drawing>
      </w:r>
      <w:r w:rsidRPr="00D7561B">
        <w:rPr>
          <w:rFonts w:ascii="Times New Roman" w:eastAsia="Times New Roman" w:hAnsi="Times New Roman"/>
          <w:b/>
          <w:bCs/>
          <w:sz w:val="24"/>
        </w:rPr>
        <w:t>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i/>
          <w:iCs/>
          <w:sz w:val="24"/>
        </w:rPr>
        <w:t>Řidičský průkaz:</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xml:space="preserve">Pokud Jan Novák mění adresu trvalého pobytu v rámci jedné obce, nemá povinnost tuto změnu </w:t>
      </w:r>
      <w:proofErr w:type="gramStart"/>
      <w:r w:rsidRPr="00D7561B">
        <w:rPr>
          <w:rFonts w:ascii="Times New Roman" w:eastAsia="Times New Roman" w:hAnsi="Times New Roman"/>
          <w:sz w:val="24"/>
        </w:rPr>
        <w:t>oznamovat.Jestli</w:t>
      </w:r>
      <w:proofErr w:type="gramEnd"/>
      <w:r w:rsidRPr="00D7561B">
        <w:rPr>
          <w:rFonts w:ascii="Times New Roman" w:eastAsia="Times New Roman" w:hAnsi="Times New Roman"/>
          <w:sz w:val="24"/>
        </w:rPr>
        <w:t xml:space="preserve"> se však Jan Novák stěhuje z jedné obce do druhé (v praxi častější případ), musí tuto změnu nahlásit do pěti pracovních dnů na příslušném obecním úřadu obce s rozšířenou působností tam, kam se přestěhoval. Za změnu údajů v řidičském průkaze zaplatí správní poplatek ve výši padesáti korun.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lastRenderedPageBreak/>
        <w:t> </w:t>
      </w:r>
      <w:r>
        <w:rPr>
          <w:rFonts w:ascii="Times New Roman" w:eastAsia="Times New Roman" w:hAnsi="Times New Roman"/>
          <w:noProof/>
          <w:sz w:val="24"/>
        </w:rPr>
        <w:drawing>
          <wp:inline distT="0" distB="0" distL="0" distR="0">
            <wp:extent cx="1647825" cy="1009650"/>
            <wp:effectExtent l="19050" t="0" r="9525" b="0"/>
            <wp:docPr id="9" name="obrázek 9" descr="__idi___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_idi____k.png"/>
                    <pic:cNvPicPr>
                      <a:picLocks noChangeAspect="1" noChangeArrowheads="1"/>
                    </pic:cNvPicPr>
                  </pic:nvPicPr>
                  <pic:blipFill>
                    <a:blip r:embed="rId15" cstate="print"/>
                    <a:srcRect/>
                    <a:stretch>
                      <a:fillRect/>
                    </a:stretch>
                  </pic:blipFill>
                  <pic:spPr bwMode="auto">
                    <a:xfrm>
                      <a:off x="0" y="0"/>
                      <a:ext cx="1647825" cy="1009650"/>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i/>
          <w:iCs/>
          <w:sz w:val="24"/>
        </w:rPr>
        <w:t>Registr vozidel:</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Jestli Jan Novák vlastní automobil, bude ho čekat také cesta na registr vozidel, kde bude muset změnu adresy trvalého pobytu nahlásit z důvodů doplnění údajů do velkého technického průkazu a výměny malého technického průkazu. Za změnu tohoto údaje je stanoven správní poplatek ve výši 50 Kč. Od 1. 1. 2015 však nastala změna oproti minulému roku týkající se výměny registrační značky v případě stěhování do jiného kraje. V tomto případě již zůstane Janu Novákovi původní registrační značka. To ovšem neplatí v případě, pokud je třeba registrační značku vyměnit z důvodu ztráty, poškození, zničení či odcizení. V tomto případě je zde stanoven správní poplatek ve výši 50 Kč.</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w:t>
      </w:r>
      <w:r>
        <w:rPr>
          <w:rFonts w:ascii="Times New Roman" w:eastAsia="Times New Roman" w:hAnsi="Times New Roman"/>
          <w:noProof/>
          <w:sz w:val="24"/>
        </w:rPr>
        <w:drawing>
          <wp:inline distT="0" distB="0" distL="0" distR="0">
            <wp:extent cx="1905000" cy="733425"/>
            <wp:effectExtent l="19050" t="0" r="0" b="0"/>
            <wp:docPr id="10" name="obrázek 10" descr="vozidl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zidla_2015.png"/>
                    <pic:cNvPicPr>
                      <a:picLocks noChangeAspect="1" noChangeArrowheads="1"/>
                    </pic:cNvPicPr>
                  </pic:nvPicPr>
                  <pic:blipFill>
                    <a:blip r:embed="rId16" cstate="print"/>
                    <a:srcRect/>
                    <a:stretch>
                      <a:fillRect/>
                    </a:stretch>
                  </pic:blipFill>
                  <pic:spPr bwMode="auto">
                    <a:xfrm>
                      <a:off x="0" y="0"/>
                      <a:ext cx="1905000" cy="733425"/>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Úřad práce.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color w:val="0000FF"/>
          <w:sz w:val="24"/>
        </w:rPr>
        <w:drawing>
          <wp:inline distT="0" distB="0" distL="0" distR="0">
            <wp:extent cx="876300" cy="600075"/>
            <wp:effectExtent l="19050" t="0" r="0" b="0"/>
            <wp:docPr id="11" name="obrázek 11" descr="____ad_pr__ce.png">
              <a:hlinkClick xmlns:a="http://schemas.openxmlformats.org/drawingml/2006/main" r:id="rId17" tooltip="&quot;Úřad práce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___ad_pr__ce.png">
                      <a:hlinkClick r:id="rId17" tooltip="&quot;Úřad práce ČR&quot;"/>
                    </pic:cNvPr>
                    <pic:cNvPicPr>
                      <a:picLocks noChangeAspect="1" noChangeArrowheads="1"/>
                    </pic:cNvPicPr>
                  </pic:nvPicPr>
                  <pic:blipFill>
                    <a:blip r:embed="rId18" cstate="print"/>
                    <a:srcRect/>
                    <a:stretch>
                      <a:fillRect/>
                    </a:stretch>
                  </pic:blipFill>
                  <pic:spPr bwMode="auto">
                    <a:xfrm>
                      <a:off x="0" y="0"/>
                      <a:ext cx="876300" cy="600075"/>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V oblasti státní sociální podpory (rodičovský příspěvek; přídavek na dítě; příspěvek na bydlení; porodné; pohřebné; dávky pěstounské péče; dávky pro osoby se zdravotním postižením atd.) získávají úřady práce údaje automaticky – vše si zkontrolují a evidují sami.</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Jestliže jde ale o další agendy (pomoc v hmotné nouzi; podporu v nezaměstnanosti apod.), tam má z technických důvodů Jan Novák povinnost nahlásit změnu příslušnému kontaktnímu pracovišti úřadu práce.</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Živnostenský úřad.</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color w:val="0000FF"/>
          <w:sz w:val="24"/>
        </w:rPr>
        <w:drawing>
          <wp:inline distT="0" distB="0" distL="0" distR="0">
            <wp:extent cx="971550" cy="533400"/>
            <wp:effectExtent l="19050" t="0" r="0" b="0"/>
            <wp:docPr id="12" name="obrázek 12" descr="mpo.png">
              <a:hlinkClick xmlns:a="http://schemas.openxmlformats.org/drawingml/2006/main" r:id="rId19" tooltip="&quot;Ministerstvo průmyslu a obchodu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o.png">
                      <a:hlinkClick r:id="rId19" tooltip="&quot;Ministerstvo průmyslu a obchodu ČR&quot;"/>
                    </pic:cNvPr>
                    <pic:cNvPicPr>
                      <a:picLocks noChangeAspect="1" noChangeArrowheads="1"/>
                    </pic:cNvPicPr>
                  </pic:nvPicPr>
                  <pic:blipFill>
                    <a:blip r:embed="rId20" cstate="print"/>
                    <a:srcRect/>
                    <a:stretch>
                      <a:fillRect/>
                    </a:stretch>
                  </pic:blipFill>
                  <pic:spPr bwMode="auto">
                    <a:xfrm>
                      <a:off x="0" y="0"/>
                      <a:ext cx="971550" cy="533400"/>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xml:space="preserve">Živnostenskému úřadu nemusí Jan Novák, pokud podniká, změnu adresy trvalého pobytu hlásit. Správnost nové adresy si může Jan Novák ověřit na veřejném portálu Ministerstva průmyslu a obchodu České republiky – </w:t>
      </w:r>
      <w:hyperlink r:id="rId21" w:history="1">
        <w:r w:rsidRPr="00D7561B">
          <w:rPr>
            <w:rFonts w:ascii="Times New Roman" w:eastAsia="Times New Roman" w:hAnsi="Times New Roman"/>
            <w:color w:val="0000FF"/>
            <w:sz w:val="24"/>
            <w:u w:val="single"/>
          </w:rPr>
          <w:t>http://www.rzp.cz/cgi-bin/aps_cacheWEB.sh?VSS_SERV=ZVWSBJFND</w:t>
        </w:r>
      </w:hyperlink>
      <w:r w:rsidRPr="00D7561B">
        <w:rPr>
          <w:rFonts w:ascii="Times New Roman" w:eastAsia="Times New Roman" w:hAnsi="Times New Roman"/>
          <w:sz w:val="24"/>
        </w:rPr>
        <w:t>.</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Česká správa sociálního zabezpečení.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lastRenderedPageBreak/>
        <w:drawing>
          <wp:inline distT="0" distB="0" distL="0" distR="0">
            <wp:extent cx="1619250" cy="666750"/>
            <wp:effectExtent l="19050" t="0" r="0" b="0"/>
            <wp:docPr id="13" name="obrázek 13" descr="__sszlogo.jpg">
              <a:hlinkClick xmlns:a="http://schemas.openxmlformats.org/drawingml/2006/main" r:id="rId22" tooltip="&quot;Česká správa sociálního zabezpeč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_sszlogo.jpg">
                      <a:hlinkClick r:id="rId22" tooltip="&quot;Česká správa sociálního zabezpečení&quot;"/>
                    </pic:cNvPr>
                    <pic:cNvPicPr>
                      <a:picLocks noChangeAspect="1" noChangeArrowheads="1"/>
                    </pic:cNvPicPr>
                  </pic:nvPicPr>
                  <pic:blipFill>
                    <a:blip r:embed="rId23" cstate="print"/>
                    <a:srcRect/>
                    <a:stretch>
                      <a:fillRect/>
                    </a:stretch>
                  </pic:blipFill>
                  <pic:spPr bwMode="auto">
                    <a:xfrm>
                      <a:off x="0" y="0"/>
                      <a:ext cx="1619250" cy="666750"/>
                    </a:xfrm>
                    <a:prstGeom prst="rect">
                      <a:avLst/>
                    </a:prstGeom>
                    <a:noFill/>
                    <a:ln w="9525">
                      <a:noFill/>
                      <a:miter lim="800000"/>
                      <a:headEnd/>
                      <a:tailEnd/>
                    </a:ln>
                  </pic:spPr>
                </pic:pic>
              </a:graphicData>
            </a:graphic>
          </wp:inline>
        </w:drawing>
      </w:r>
      <w:r w:rsidRPr="00D7561B">
        <w:rPr>
          <w:rFonts w:ascii="Times New Roman" w:eastAsia="Times New Roman" w:hAnsi="Times New Roman"/>
          <w:b/>
          <w:bCs/>
          <w:sz w:val="24"/>
        </w:rPr>
        <w:t>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V případě, že Jan Novák pobírá důchod, musí změnu nahlásit sám. Způsob hlášení změny u příjemců důchodu závisí na způsobu výplaty důchodu, tj. zda v hotovosti na pobočce pošty nebo na účet u peněžního ústavu.</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1.      Jan Novák pobírá důchod na poště</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Pokud Janu Novákovi ČSSZ vyplácí důchod prostřednictvím pošty, změnu nahlásí na kterékoli poště, která převede výplatu důchodu na poštu v novém místě trvalého pobytu a následně změnu adresy ohlásí ČSSZ.</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2.      Jan Novák pobírá důchod na účet u banky</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Změnu musí Jan Novák nahlásit sám – třeba formou vlastnoručně podepsaného dopisu, v němž uvede svoje rodné číslo a novou adresu trvalého pobytu. Ten musí poslat na adresu ČSSZ, Křížová 25, Praha 5, 225 08. Je možné však také použít formulář, který je k dispozici na webových stránkách ČSSZ a také na okresních správách sociálního zabezpečení.</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xml:space="preserve">Oznámení o změně je možné poslat též v elektronické podobě podepsaným uznávaným elektronickým podpisem na adresu e-podatelny: </w:t>
      </w:r>
      <w:hyperlink r:id="rId24" w:history="1">
        <w:r w:rsidRPr="00D7561B">
          <w:rPr>
            <w:rFonts w:ascii="Times New Roman" w:eastAsia="Times New Roman" w:hAnsi="Times New Roman"/>
            <w:color w:val="0000FF"/>
            <w:sz w:val="24"/>
            <w:u w:val="single"/>
          </w:rPr>
          <w:t>posta@cssz.cz</w:t>
        </w:r>
      </w:hyperlink>
      <w:r w:rsidRPr="00D7561B">
        <w:rPr>
          <w:rFonts w:ascii="Times New Roman" w:eastAsia="Times New Roman" w:hAnsi="Times New Roman"/>
          <w:sz w:val="24"/>
        </w:rPr>
        <w:t xml:space="preserve"> nebo datovou zprávou přes informační systém datových schránek do datové schránky ČSSZ: ID 49kaiq3.</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Jestli Jan Novák pobírá důchod a bydlí v cizině, musí oznámit změnu adresy buďto písemnou formou vlastnoručně podepsaného dopisu, který zašle na výše uvedenou adresu ČSSZ (s tím, že do adresy připíše Oddělení výplat důchodů v oblasti mezinárodních důchodových agend), nebo na výše uvedený e-mail či datovou schránku.</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Další instituce, kam Jan Novák musí zatím změnu trvalého pobytu hlásit.</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Jan Novák musí změnu i nadále ohlašovat především nestátním (komerčním) subjektům.</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Jde především o:</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3895725" cy="1362075"/>
            <wp:effectExtent l="19050" t="0" r="9525" b="0"/>
            <wp:docPr id="14" name="obrázek 14" descr="calibri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ibri_8.png"/>
                    <pic:cNvPicPr>
                      <a:picLocks noChangeAspect="1" noChangeArrowheads="1"/>
                    </pic:cNvPicPr>
                  </pic:nvPicPr>
                  <pic:blipFill>
                    <a:blip r:embed="rId25" cstate="print"/>
                    <a:srcRect/>
                    <a:stretch>
                      <a:fillRect/>
                    </a:stretch>
                  </pic:blipFill>
                  <pic:spPr bwMode="auto">
                    <a:xfrm>
                      <a:off x="0" y="0"/>
                      <a:ext cx="3895725" cy="1362075"/>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Připravujeme možnost, že i komerční subjekty budou napojeny na základní registry a občanům se tak v případě změny adresy trvalého pobytu zase o něco zjednoduší komunikace nejenom s orgány státní správy, ale rovněž i s komerčními subjekty.</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lastRenderedPageBreak/>
        <w:t>Níže je k dispozici návod pro občana ve formátu PDF ke stažení:</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52400" cy="152400"/>
            <wp:effectExtent l="19050" t="0" r="0" b="0"/>
            <wp:docPr id="15" name="obrázek 15" descr="Co mám dělat, když si měním adresu trvalého pobytu_verz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 mám dělat, když si měním adresu trvalého pobytu_verze 3"/>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61B">
        <w:rPr>
          <w:rFonts w:ascii="Times New Roman" w:eastAsia="Times New Roman" w:hAnsi="Times New Roman"/>
          <w:sz w:val="24"/>
        </w:rPr>
        <w:t> </w:t>
      </w:r>
      <w:hyperlink r:id="rId27" w:history="1">
        <w:r w:rsidRPr="00D7561B">
          <w:rPr>
            <w:rFonts w:ascii="Times New Roman" w:eastAsia="Times New Roman" w:hAnsi="Times New Roman"/>
            <w:color w:val="0000FF"/>
            <w:sz w:val="24"/>
            <w:u w:val="single"/>
          </w:rPr>
          <w:t>Co mám dělat, když si měním adresu trvalého pobytu_verze 3</w:t>
        </w:r>
      </w:hyperlink>
      <w:r w:rsidRPr="00D7561B">
        <w:rPr>
          <w:rFonts w:ascii="Times New Roman" w:eastAsia="Times New Roman" w:hAnsi="Times New Roman"/>
          <w:sz w:val="24"/>
        </w:rPr>
        <w:t xml:space="preserve"> (271,66 KB)</w:t>
      </w:r>
    </w:p>
    <w:p w:rsidR="00D7561B" w:rsidRPr="00D7561B" w:rsidRDefault="00D7561B" w:rsidP="00D7561B">
      <w:pPr>
        <w:spacing w:line="240" w:lineRule="auto"/>
        <w:jc w:val="left"/>
        <w:rPr>
          <w:rFonts w:ascii="Times New Roman" w:eastAsia="Times New Roman" w:hAnsi="Times New Roman"/>
          <w:sz w:val="24"/>
        </w:rPr>
      </w:pPr>
      <w:r w:rsidRPr="00D7561B">
        <w:rPr>
          <w:rFonts w:ascii="Times New Roman" w:eastAsia="Times New Roman" w:hAnsi="Times New Roman"/>
          <w:sz w:val="24"/>
        </w:rPr>
        <w:pict>
          <v:rect id="_x0000_i1040" style="width:0;height:1.5pt" o:hralign="center" o:hrstd="t" o:hr="t" fillcolor="gray" stroked="f"/>
        </w:pic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b/>
          <w:bCs/>
          <w:sz w:val="24"/>
        </w:rPr>
        <w:t>Jak si zřídit adresu pro doručování na přechodné bydliště?</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Může nastat situace, že bydlíte na jiné adrese, než na adrese svého trvalého pobytu. V tomto případě jde o tzv. „přechodné bydliště“. Jak si zařídit to, aby vás úřady prostřednictvím základních registrů kontaktovaly na doručovací adrese? Níže je popsán postup, jak toto provést.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Adresa, na kterou mají být doručovány písemnosti, tzv. doručovací adresa, je referenčním údajem podle zákona o základních registrech. Podle zákona o evidenci obyvatel a rodných číslech můžete požádat o zavedení doručovací adresy do informačního systému evidence obyvatel.</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Ohlášení adresy pro doručování, její změnu nebo zrušení, provedete na obecním úřadě v místě svého trvalého pobytu a do informačního systému evidence obyvatel je pak tato adresa zavedena následujícími třemi způsoby:</w:t>
      </w:r>
    </w:p>
    <w:p w:rsidR="00D7561B" w:rsidRPr="00D7561B" w:rsidRDefault="00D7561B" w:rsidP="00D7561B">
      <w:pPr>
        <w:numPr>
          <w:ilvl w:val="0"/>
          <w:numId w:val="1"/>
        </w:num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občan vyplní formulář „Hlášení adresy pro doručování“ (viz příloha) v listinné podobě. Formulář podepíše a předloží doklad k ověření totožnosti (občanský průkaz nebo cestovní pas) přímo na podatelně „svého“ obecního úřadu, nebo</w:t>
      </w:r>
    </w:p>
    <w:p w:rsidR="00D7561B" w:rsidRPr="00D7561B" w:rsidRDefault="00D7561B" w:rsidP="00D7561B">
      <w:pPr>
        <w:numPr>
          <w:ilvl w:val="0"/>
          <w:numId w:val="1"/>
        </w:num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občan vyplněný formulář a s úředně ověřeným podpisem podá na podatelně „svého“ obecního úřadu, případně zašle na obecní úřad v místě svého trvalého pobytu prostřednictvím doručovatele poštovních služeb nebo prostřednictvím datové schránky (tím, že formulář převede do elektronické podoby) zprávou opatřenou zaručeným elektronickým podpisem, anebo</w:t>
      </w:r>
    </w:p>
    <w:p w:rsidR="00D7561B" w:rsidRPr="00D7561B" w:rsidRDefault="00D7561B" w:rsidP="00D7561B">
      <w:pPr>
        <w:numPr>
          <w:ilvl w:val="0"/>
          <w:numId w:val="1"/>
        </w:num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občan pověří zmocněnce na základě ověřené plné moci k nahlášení doručovací adresy do informačního systému rovněž na obecním úřadě v místě jeho trvalého pobytu.</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Za ohlášení, změnu nebo zrušení adresy pro doručování není stanoven žádný správní poplatek.</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Všechny připojené úřady k základním registrům si tak vaši doručovací adresu, kterou si podle výše uvedeného návodu zřídíte, zavedou do svého systému a budou vás následně na tuto adresu obesílat.</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Níže je k dispozici ke stažení text ve formátu PDF a dále formulář "Hlášení adresy pro doručování":</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52400" cy="152400"/>
            <wp:effectExtent l="19050" t="0" r="0" b="0"/>
            <wp:docPr id="17" name="obrázek 17" descr="Doručovací 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ručovací adresa"/>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61B">
        <w:rPr>
          <w:rFonts w:ascii="Times New Roman" w:eastAsia="Times New Roman" w:hAnsi="Times New Roman"/>
          <w:sz w:val="24"/>
        </w:rPr>
        <w:t> </w:t>
      </w:r>
      <w:hyperlink r:id="rId28" w:history="1">
        <w:r w:rsidRPr="00D7561B">
          <w:rPr>
            <w:rFonts w:ascii="Times New Roman" w:eastAsia="Times New Roman" w:hAnsi="Times New Roman"/>
            <w:color w:val="0000FF"/>
            <w:sz w:val="24"/>
            <w:u w:val="single"/>
          </w:rPr>
          <w:t>Doručovací adresa</w:t>
        </w:r>
      </w:hyperlink>
      <w:r w:rsidRPr="00D7561B">
        <w:rPr>
          <w:rFonts w:ascii="Times New Roman" w:eastAsia="Times New Roman" w:hAnsi="Times New Roman"/>
          <w:sz w:val="24"/>
        </w:rPr>
        <w:t xml:space="preserve"> (208,83 KB)</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52400" cy="152400"/>
            <wp:effectExtent l="19050" t="0" r="0" b="0"/>
            <wp:docPr id="18" name="obrázek 18" descr="Hlášení adresy pro doručování - formulá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lášení adresy pro doručování - formulář"/>
                    <pic:cNvPicPr>
                      <a:picLocks noChangeAspect="1" noChangeArrowheads="1"/>
                    </pic:cNvPicPr>
                  </pic:nvPicPr>
                  <pic:blipFill>
                    <a:blip r:embed="rId2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61B">
        <w:rPr>
          <w:rFonts w:ascii="Times New Roman" w:eastAsia="Times New Roman" w:hAnsi="Times New Roman"/>
          <w:sz w:val="24"/>
        </w:rPr>
        <w:t> </w:t>
      </w:r>
      <w:hyperlink r:id="rId30" w:history="1">
        <w:r w:rsidRPr="00D7561B">
          <w:rPr>
            <w:rFonts w:ascii="Times New Roman" w:eastAsia="Times New Roman" w:hAnsi="Times New Roman"/>
            <w:color w:val="0000FF"/>
            <w:sz w:val="24"/>
            <w:u w:val="single"/>
          </w:rPr>
          <w:t>Hlášení adresy pro doručování - formulář</w:t>
        </w:r>
      </w:hyperlink>
      <w:r w:rsidRPr="00D7561B">
        <w:rPr>
          <w:rFonts w:ascii="Times New Roman" w:eastAsia="Times New Roman" w:hAnsi="Times New Roman"/>
          <w:sz w:val="24"/>
        </w:rPr>
        <w:t xml:space="preserve"> (36,50 KB)</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i/>
          <w:iCs/>
          <w:sz w:val="24"/>
        </w:rPr>
        <w:t>Mgr. Marek Hejduk, pracovník pro vztah s veřejností, 27. 1. 2015.</w:t>
      </w:r>
    </w:p>
    <w:sectPr w:rsidR="00D7561B" w:rsidRPr="00D7561B" w:rsidSect="00E878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eidemannItcTEE">
    <w:altName w:val="Times New Roman"/>
    <w:charset w:val="00"/>
    <w:family w:val="auto"/>
    <w:pitch w:val="variable"/>
    <w:sig w:usb0="00000007" w:usb1="00000000" w:usb2="00000000" w:usb3="00000000" w:csb0="0000008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1112"/>
    <w:multiLevelType w:val="multilevel"/>
    <w:tmpl w:val="2194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61B"/>
    <w:rsid w:val="0051289D"/>
    <w:rsid w:val="00721291"/>
    <w:rsid w:val="00726E9D"/>
    <w:rsid w:val="008A5F35"/>
    <w:rsid w:val="00B53488"/>
    <w:rsid w:val="00BD213D"/>
    <w:rsid w:val="00C52F3A"/>
    <w:rsid w:val="00D7561B"/>
    <w:rsid w:val="00E878C5"/>
    <w:rsid w:val="00EA4E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3488"/>
    <w:pPr>
      <w:spacing w:line="264" w:lineRule="auto"/>
      <w:jc w:val="both"/>
    </w:pPr>
    <w:rPr>
      <w:rFonts w:ascii="WeidemannItcTEE" w:hAnsi="WeidemannItcTEE"/>
      <w:sz w:val="22"/>
      <w:szCs w:val="24"/>
    </w:rPr>
  </w:style>
  <w:style w:type="paragraph" w:styleId="Nadpis1">
    <w:name w:val="heading 1"/>
    <w:basedOn w:val="Normln"/>
    <w:next w:val="Normln"/>
    <w:link w:val="Nadpis1Char"/>
    <w:qFormat/>
    <w:rsid w:val="00B53488"/>
    <w:pPr>
      <w:keepNext/>
      <w:outlineLvl w:val="0"/>
    </w:pPr>
    <w:rPr>
      <w:rFonts w:ascii="Arial" w:hAnsi="Arial" w:cs="Arial"/>
      <w:b/>
      <w:bCs/>
      <w:sz w:val="28"/>
    </w:rPr>
  </w:style>
  <w:style w:type="paragraph" w:styleId="Nadpis2">
    <w:name w:val="heading 2"/>
    <w:basedOn w:val="Normln"/>
    <w:link w:val="Nadpis2Char"/>
    <w:uiPriority w:val="9"/>
    <w:qFormat/>
    <w:rsid w:val="00D7561B"/>
    <w:pPr>
      <w:spacing w:before="100" w:beforeAutospacing="1" w:after="100" w:afterAutospacing="1" w:line="240" w:lineRule="auto"/>
      <w:jc w:val="left"/>
      <w:outlineLvl w:val="1"/>
    </w:pPr>
    <w:rPr>
      <w:rFonts w:ascii="Times New Roman" w:eastAsia="Times New Roman" w:hAnsi="Times New Roman"/>
      <w:b/>
      <w:bCs/>
      <w:sz w:val="36"/>
      <w:szCs w:val="36"/>
    </w:rPr>
  </w:style>
  <w:style w:type="paragraph" w:styleId="Nadpis4">
    <w:name w:val="heading 4"/>
    <w:basedOn w:val="Normln"/>
    <w:link w:val="Nadpis4Char"/>
    <w:uiPriority w:val="9"/>
    <w:qFormat/>
    <w:rsid w:val="00D7561B"/>
    <w:pPr>
      <w:spacing w:before="100" w:beforeAutospacing="1" w:after="100" w:afterAutospacing="1" w:line="240" w:lineRule="auto"/>
      <w:jc w:val="left"/>
      <w:outlineLvl w:val="3"/>
    </w:pPr>
    <w:rPr>
      <w:rFonts w:ascii="Times New Roman" w:eastAsia="Times New Roman" w:hAnsi="Times New Roman"/>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3488"/>
    <w:rPr>
      <w:rFonts w:ascii="Arial" w:hAnsi="Arial" w:cs="Arial"/>
      <w:b/>
      <w:bCs/>
      <w:sz w:val="28"/>
      <w:szCs w:val="24"/>
    </w:rPr>
  </w:style>
  <w:style w:type="paragraph" w:styleId="Odstavecseseznamem">
    <w:name w:val="List Paragraph"/>
    <w:basedOn w:val="Normln"/>
    <w:uiPriority w:val="34"/>
    <w:qFormat/>
    <w:rsid w:val="00B53488"/>
    <w:pPr>
      <w:ind w:left="720"/>
    </w:pPr>
  </w:style>
  <w:style w:type="paragraph" w:customStyle="1" w:styleId="Styl1">
    <w:name w:val="Styl1"/>
    <w:basedOn w:val="Normln"/>
    <w:link w:val="Styl1Char"/>
    <w:qFormat/>
    <w:rsid w:val="00B53488"/>
    <w:pPr>
      <w:pBdr>
        <w:bottom w:val="single" w:sz="6" w:space="18" w:color="auto"/>
      </w:pBdr>
    </w:pPr>
    <w:rPr>
      <w:rFonts w:ascii="Arial" w:hAnsi="Arial" w:cs="Arial"/>
      <w:szCs w:val="22"/>
      <w:lang w:eastAsia="en-US"/>
    </w:rPr>
  </w:style>
  <w:style w:type="paragraph" w:styleId="Zkladntext">
    <w:name w:val="Body Text"/>
    <w:basedOn w:val="Normln"/>
    <w:link w:val="ZkladntextChar"/>
    <w:uiPriority w:val="99"/>
    <w:semiHidden/>
    <w:unhideWhenUsed/>
    <w:rsid w:val="00721291"/>
    <w:pPr>
      <w:spacing w:after="120"/>
    </w:pPr>
  </w:style>
  <w:style w:type="character" w:customStyle="1" w:styleId="ZkladntextChar">
    <w:name w:val="Základní text Char"/>
    <w:basedOn w:val="Standardnpsmoodstavce"/>
    <w:link w:val="Zkladntext"/>
    <w:uiPriority w:val="99"/>
    <w:semiHidden/>
    <w:rsid w:val="00721291"/>
    <w:rPr>
      <w:rFonts w:eastAsiaTheme="minorHAnsi"/>
      <w:sz w:val="24"/>
      <w:szCs w:val="24"/>
    </w:rPr>
  </w:style>
  <w:style w:type="character" w:customStyle="1" w:styleId="Styl1Char">
    <w:name w:val="Styl1 Char"/>
    <w:basedOn w:val="Standardnpsmoodstavce"/>
    <w:link w:val="Styl1"/>
    <w:rsid w:val="00B53488"/>
    <w:rPr>
      <w:rFonts w:ascii="Arial" w:hAnsi="Arial" w:cs="Arial"/>
      <w:sz w:val="22"/>
      <w:szCs w:val="22"/>
      <w:lang w:eastAsia="en-US"/>
    </w:rPr>
  </w:style>
  <w:style w:type="character" w:customStyle="1" w:styleId="Nadpis2Char">
    <w:name w:val="Nadpis 2 Char"/>
    <w:basedOn w:val="Standardnpsmoodstavce"/>
    <w:link w:val="Nadpis2"/>
    <w:uiPriority w:val="9"/>
    <w:rsid w:val="00D7561B"/>
    <w:rPr>
      <w:rFonts w:eastAsia="Times New Roman"/>
      <w:b/>
      <w:bCs/>
      <w:sz w:val="36"/>
      <w:szCs w:val="36"/>
    </w:rPr>
  </w:style>
  <w:style w:type="character" w:customStyle="1" w:styleId="Nadpis4Char">
    <w:name w:val="Nadpis 4 Char"/>
    <w:basedOn w:val="Standardnpsmoodstavce"/>
    <w:link w:val="Nadpis4"/>
    <w:uiPriority w:val="9"/>
    <w:rsid w:val="00D7561B"/>
    <w:rPr>
      <w:rFonts w:eastAsia="Times New Roman"/>
      <w:b/>
      <w:bCs/>
      <w:sz w:val="24"/>
      <w:szCs w:val="24"/>
    </w:rPr>
  </w:style>
  <w:style w:type="character" w:styleId="Hypertextovodkaz">
    <w:name w:val="Hyperlink"/>
    <w:basedOn w:val="Standardnpsmoodstavce"/>
    <w:uiPriority w:val="99"/>
    <w:semiHidden/>
    <w:unhideWhenUsed/>
    <w:rsid w:val="00D7561B"/>
    <w:rPr>
      <w:color w:val="0000FF"/>
      <w:u w:val="single"/>
    </w:rPr>
  </w:style>
  <w:style w:type="character" w:customStyle="1" w:styleId="harr">
    <w:name w:val="harr"/>
    <w:basedOn w:val="Standardnpsmoodstavce"/>
    <w:rsid w:val="00D7561B"/>
  </w:style>
  <w:style w:type="paragraph" w:customStyle="1" w:styleId="article-perex">
    <w:name w:val="article-perex"/>
    <w:basedOn w:val="Normln"/>
    <w:rsid w:val="00D7561B"/>
    <w:pPr>
      <w:spacing w:before="100" w:beforeAutospacing="1" w:after="100" w:afterAutospacing="1" w:line="240" w:lineRule="auto"/>
      <w:jc w:val="left"/>
    </w:pPr>
    <w:rPr>
      <w:rFonts w:ascii="Times New Roman" w:eastAsia="Times New Roman" w:hAnsi="Times New Roman"/>
      <w:sz w:val="24"/>
    </w:rPr>
  </w:style>
  <w:style w:type="character" w:styleId="Siln">
    <w:name w:val="Strong"/>
    <w:basedOn w:val="Standardnpsmoodstavce"/>
    <w:uiPriority w:val="22"/>
    <w:qFormat/>
    <w:rsid w:val="00D7561B"/>
    <w:rPr>
      <w:b/>
      <w:bCs/>
    </w:rPr>
  </w:style>
  <w:style w:type="paragraph" w:styleId="Normlnweb">
    <w:name w:val="Normal (Web)"/>
    <w:basedOn w:val="Normln"/>
    <w:uiPriority w:val="99"/>
    <w:semiHidden/>
    <w:unhideWhenUsed/>
    <w:rsid w:val="00D7561B"/>
    <w:pPr>
      <w:spacing w:before="100" w:beforeAutospacing="1" w:after="100" w:afterAutospacing="1" w:line="240" w:lineRule="auto"/>
      <w:jc w:val="left"/>
    </w:pPr>
    <w:rPr>
      <w:rFonts w:ascii="Times New Roman" w:eastAsia="Times New Roman" w:hAnsi="Times New Roman"/>
      <w:sz w:val="24"/>
    </w:rPr>
  </w:style>
  <w:style w:type="character" w:styleId="Zvraznn">
    <w:name w:val="Emphasis"/>
    <w:basedOn w:val="Standardnpsmoodstavce"/>
    <w:uiPriority w:val="20"/>
    <w:qFormat/>
    <w:rsid w:val="00D7561B"/>
    <w:rPr>
      <w:i/>
      <w:iCs/>
    </w:rPr>
  </w:style>
  <w:style w:type="character" w:customStyle="1" w:styleId="eaddress">
    <w:name w:val="eaddress"/>
    <w:basedOn w:val="Standardnpsmoodstavce"/>
    <w:rsid w:val="00D7561B"/>
  </w:style>
  <w:style w:type="paragraph" w:styleId="z-Zatekformule">
    <w:name w:val="HTML Top of Form"/>
    <w:basedOn w:val="Normln"/>
    <w:next w:val="Normln"/>
    <w:link w:val="z-ZatekformuleChar"/>
    <w:hidden/>
    <w:uiPriority w:val="99"/>
    <w:semiHidden/>
    <w:unhideWhenUsed/>
    <w:rsid w:val="00D7561B"/>
    <w:pPr>
      <w:pBdr>
        <w:bottom w:val="single" w:sz="6" w:space="1" w:color="auto"/>
      </w:pBdr>
      <w:spacing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D7561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D7561B"/>
    <w:pPr>
      <w:pBdr>
        <w:top w:val="single" w:sz="6" w:space="1" w:color="auto"/>
      </w:pBdr>
      <w:spacing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D7561B"/>
    <w:rPr>
      <w:rFonts w:ascii="Arial" w:eastAsia="Times New Roman" w:hAnsi="Arial" w:cs="Arial"/>
      <w:vanish/>
      <w:sz w:val="16"/>
      <w:szCs w:val="16"/>
    </w:rPr>
  </w:style>
  <w:style w:type="paragraph" w:styleId="Textbubliny">
    <w:name w:val="Balloon Text"/>
    <w:basedOn w:val="Normln"/>
    <w:link w:val="TextbublinyChar"/>
    <w:uiPriority w:val="99"/>
    <w:semiHidden/>
    <w:unhideWhenUsed/>
    <w:rsid w:val="00D7561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5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1666">
      <w:bodyDiv w:val="1"/>
      <w:marLeft w:val="0"/>
      <w:marRight w:val="0"/>
      <w:marTop w:val="0"/>
      <w:marBottom w:val="0"/>
      <w:divBdr>
        <w:top w:val="none" w:sz="0" w:space="0" w:color="auto"/>
        <w:left w:val="none" w:sz="0" w:space="0" w:color="auto"/>
        <w:bottom w:val="none" w:sz="0" w:space="0" w:color="auto"/>
        <w:right w:val="none" w:sz="0" w:space="0" w:color="auto"/>
      </w:divBdr>
      <w:divsChild>
        <w:div w:id="731655675">
          <w:marLeft w:val="0"/>
          <w:marRight w:val="0"/>
          <w:marTop w:val="0"/>
          <w:marBottom w:val="0"/>
          <w:divBdr>
            <w:top w:val="none" w:sz="0" w:space="0" w:color="auto"/>
            <w:left w:val="none" w:sz="0" w:space="0" w:color="auto"/>
            <w:bottom w:val="none" w:sz="0" w:space="0" w:color="auto"/>
            <w:right w:val="none" w:sz="0" w:space="0" w:color="auto"/>
          </w:divBdr>
          <w:divsChild>
            <w:div w:id="272634671">
              <w:marLeft w:val="0"/>
              <w:marRight w:val="0"/>
              <w:marTop w:val="0"/>
              <w:marBottom w:val="0"/>
              <w:divBdr>
                <w:top w:val="none" w:sz="0" w:space="0" w:color="auto"/>
                <w:left w:val="none" w:sz="0" w:space="0" w:color="auto"/>
                <w:bottom w:val="none" w:sz="0" w:space="0" w:color="auto"/>
                <w:right w:val="none" w:sz="0" w:space="0" w:color="auto"/>
              </w:divBdr>
            </w:div>
            <w:div w:id="464203010">
              <w:marLeft w:val="0"/>
              <w:marRight w:val="0"/>
              <w:marTop w:val="0"/>
              <w:marBottom w:val="0"/>
              <w:divBdr>
                <w:top w:val="none" w:sz="0" w:space="0" w:color="auto"/>
                <w:left w:val="none" w:sz="0" w:space="0" w:color="auto"/>
                <w:bottom w:val="none" w:sz="0" w:space="0" w:color="auto"/>
                <w:right w:val="none" w:sz="0" w:space="0" w:color="auto"/>
              </w:divBdr>
              <w:divsChild>
                <w:div w:id="1999839037">
                  <w:marLeft w:val="0"/>
                  <w:marRight w:val="0"/>
                  <w:marTop w:val="0"/>
                  <w:marBottom w:val="0"/>
                  <w:divBdr>
                    <w:top w:val="none" w:sz="0" w:space="0" w:color="auto"/>
                    <w:left w:val="none" w:sz="0" w:space="0" w:color="auto"/>
                    <w:bottom w:val="none" w:sz="0" w:space="0" w:color="auto"/>
                    <w:right w:val="none" w:sz="0" w:space="0" w:color="auto"/>
                  </w:divBdr>
                  <w:divsChild>
                    <w:div w:id="1059742083">
                      <w:marLeft w:val="0"/>
                      <w:marRight w:val="0"/>
                      <w:marTop w:val="0"/>
                      <w:marBottom w:val="0"/>
                      <w:divBdr>
                        <w:top w:val="none" w:sz="0" w:space="0" w:color="auto"/>
                        <w:left w:val="none" w:sz="0" w:space="0" w:color="auto"/>
                        <w:bottom w:val="none" w:sz="0" w:space="0" w:color="auto"/>
                        <w:right w:val="none" w:sz="0" w:space="0" w:color="auto"/>
                      </w:divBdr>
                      <w:divsChild>
                        <w:div w:id="285896380">
                          <w:marLeft w:val="0"/>
                          <w:marRight w:val="0"/>
                          <w:marTop w:val="0"/>
                          <w:marBottom w:val="0"/>
                          <w:divBdr>
                            <w:top w:val="none" w:sz="0" w:space="0" w:color="auto"/>
                            <w:left w:val="none" w:sz="0" w:space="0" w:color="auto"/>
                            <w:bottom w:val="none" w:sz="0" w:space="0" w:color="auto"/>
                            <w:right w:val="none" w:sz="0" w:space="0" w:color="auto"/>
                          </w:divBdr>
                          <w:divsChild>
                            <w:div w:id="1372266021">
                              <w:marLeft w:val="0"/>
                              <w:marRight w:val="0"/>
                              <w:marTop w:val="0"/>
                              <w:marBottom w:val="0"/>
                              <w:divBdr>
                                <w:top w:val="none" w:sz="0" w:space="0" w:color="auto"/>
                                <w:left w:val="none" w:sz="0" w:space="0" w:color="auto"/>
                                <w:bottom w:val="none" w:sz="0" w:space="0" w:color="auto"/>
                                <w:right w:val="none" w:sz="0" w:space="0" w:color="auto"/>
                              </w:divBdr>
                              <w:divsChild>
                                <w:div w:id="2069378289">
                                  <w:marLeft w:val="0"/>
                                  <w:marRight w:val="0"/>
                                  <w:marTop w:val="0"/>
                                  <w:marBottom w:val="0"/>
                                  <w:divBdr>
                                    <w:top w:val="none" w:sz="0" w:space="0" w:color="auto"/>
                                    <w:left w:val="none" w:sz="0" w:space="0" w:color="auto"/>
                                    <w:bottom w:val="none" w:sz="0" w:space="0" w:color="auto"/>
                                    <w:right w:val="none" w:sz="0" w:space="0" w:color="auto"/>
                                  </w:divBdr>
                                </w:div>
                                <w:div w:id="16497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4251">
                  <w:marLeft w:val="0"/>
                  <w:marRight w:val="0"/>
                  <w:marTop w:val="0"/>
                  <w:marBottom w:val="0"/>
                  <w:divBdr>
                    <w:top w:val="none" w:sz="0" w:space="0" w:color="auto"/>
                    <w:left w:val="none" w:sz="0" w:space="0" w:color="auto"/>
                    <w:bottom w:val="none" w:sz="0" w:space="0" w:color="auto"/>
                    <w:right w:val="none" w:sz="0" w:space="0" w:color="auto"/>
                  </w:divBdr>
                  <w:divsChild>
                    <w:div w:id="330525756">
                      <w:marLeft w:val="0"/>
                      <w:marRight w:val="0"/>
                      <w:marTop w:val="0"/>
                      <w:marBottom w:val="0"/>
                      <w:divBdr>
                        <w:top w:val="none" w:sz="0" w:space="0" w:color="auto"/>
                        <w:left w:val="none" w:sz="0" w:space="0" w:color="auto"/>
                        <w:bottom w:val="none" w:sz="0" w:space="0" w:color="auto"/>
                        <w:right w:val="none" w:sz="0" w:space="0" w:color="auto"/>
                      </w:divBdr>
                      <w:divsChild>
                        <w:div w:id="852065726">
                          <w:marLeft w:val="0"/>
                          <w:marRight w:val="0"/>
                          <w:marTop w:val="0"/>
                          <w:marBottom w:val="0"/>
                          <w:divBdr>
                            <w:top w:val="none" w:sz="0" w:space="0" w:color="auto"/>
                            <w:left w:val="none" w:sz="0" w:space="0" w:color="auto"/>
                            <w:bottom w:val="none" w:sz="0" w:space="0" w:color="auto"/>
                            <w:right w:val="none" w:sz="0" w:space="0" w:color="auto"/>
                          </w:divBdr>
                          <w:divsChild>
                            <w:div w:id="665278972">
                              <w:marLeft w:val="0"/>
                              <w:marRight w:val="0"/>
                              <w:marTop w:val="0"/>
                              <w:marBottom w:val="0"/>
                              <w:divBdr>
                                <w:top w:val="none" w:sz="0" w:space="0" w:color="auto"/>
                                <w:left w:val="none" w:sz="0" w:space="0" w:color="auto"/>
                                <w:bottom w:val="none" w:sz="0" w:space="0" w:color="auto"/>
                                <w:right w:val="none" w:sz="0" w:space="0" w:color="auto"/>
                              </w:divBdr>
                              <w:divsChild>
                                <w:div w:id="2078671383">
                                  <w:marLeft w:val="0"/>
                                  <w:marRight w:val="0"/>
                                  <w:marTop w:val="0"/>
                                  <w:marBottom w:val="0"/>
                                  <w:divBdr>
                                    <w:top w:val="none" w:sz="0" w:space="0" w:color="auto"/>
                                    <w:left w:val="none" w:sz="0" w:space="0" w:color="auto"/>
                                    <w:bottom w:val="none" w:sz="0" w:space="0" w:color="auto"/>
                                    <w:right w:val="none" w:sz="0" w:space="0" w:color="auto"/>
                                  </w:divBdr>
                                </w:div>
                                <w:div w:id="985666178">
                                  <w:marLeft w:val="0"/>
                                  <w:marRight w:val="0"/>
                                  <w:marTop w:val="0"/>
                                  <w:marBottom w:val="0"/>
                                  <w:divBdr>
                                    <w:top w:val="none" w:sz="0" w:space="0" w:color="auto"/>
                                    <w:left w:val="none" w:sz="0" w:space="0" w:color="auto"/>
                                    <w:bottom w:val="none" w:sz="0" w:space="0" w:color="auto"/>
                                    <w:right w:val="none" w:sz="0" w:space="0" w:color="auto"/>
                                  </w:divBdr>
                                </w:div>
                                <w:div w:id="484324613">
                                  <w:marLeft w:val="0"/>
                                  <w:marRight w:val="0"/>
                                  <w:marTop w:val="0"/>
                                  <w:marBottom w:val="0"/>
                                  <w:divBdr>
                                    <w:top w:val="none" w:sz="0" w:space="0" w:color="auto"/>
                                    <w:left w:val="none" w:sz="0" w:space="0" w:color="auto"/>
                                    <w:bottom w:val="none" w:sz="0" w:space="0" w:color="auto"/>
                                    <w:right w:val="none" w:sz="0" w:space="0" w:color="auto"/>
                                  </w:divBdr>
                                </w:div>
                                <w:div w:id="960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159">
              <w:marLeft w:val="0"/>
              <w:marRight w:val="0"/>
              <w:marTop w:val="0"/>
              <w:marBottom w:val="0"/>
              <w:divBdr>
                <w:top w:val="none" w:sz="0" w:space="0" w:color="auto"/>
                <w:left w:val="none" w:sz="0" w:space="0" w:color="auto"/>
                <w:bottom w:val="none" w:sz="0" w:space="0" w:color="auto"/>
                <w:right w:val="none" w:sz="0" w:space="0" w:color="auto"/>
              </w:divBdr>
              <w:divsChild>
                <w:div w:id="673606080">
                  <w:marLeft w:val="0"/>
                  <w:marRight w:val="0"/>
                  <w:marTop w:val="0"/>
                  <w:marBottom w:val="0"/>
                  <w:divBdr>
                    <w:top w:val="none" w:sz="0" w:space="0" w:color="auto"/>
                    <w:left w:val="none" w:sz="0" w:space="0" w:color="auto"/>
                    <w:bottom w:val="none" w:sz="0" w:space="0" w:color="auto"/>
                    <w:right w:val="none" w:sz="0" w:space="0" w:color="auto"/>
                  </w:divBdr>
                </w:div>
              </w:divsChild>
            </w:div>
            <w:div w:id="1951930214">
              <w:marLeft w:val="0"/>
              <w:marRight w:val="0"/>
              <w:marTop w:val="0"/>
              <w:marBottom w:val="0"/>
              <w:divBdr>
                <w:top w:val="none" w:sz="0" w:space="0" w:color="auto"/>
                <w:left w:val="none" w:sz="0" w:space="0" w:color="auto"/>
                <w:bottom w:val="none" w:sz="0" w:space="0" w:color="auto"/>
                <w:right w:val="none" w:sz="0" w:space="0" w:color="auto"/>
              </w:divBdr>
              <w:divsChild>
                <w:div w:id="18350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dcr.cz/cs/default.htm" TargetMode="External"/><Relationship Id="rId18" Type="http://schemas.openxmlformats.org/officeDocument/2006/relationships/image" Target="media/image8.png"/><Relationship Id="rId26"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www.rzp.cz/cgi-bin/aps_cacheWEB.sh?VSS_SERV=ZVWSBJFND" TargetMode="External"/><Relationship Id="rId7" Type="http://schemas.openxmlformats.org/officeDocument/2006/relationships/hyperlink" Target="http://www.cuzk.cz/" TargetMode="External"/><Relationship Id="rId12" Type="http://schemas.openxmlformats.org/officeDocument/2006/relationships/image" Target="media/image4.jpeg"/><Relationship Id="rId17" Type="http://schemas.openxmlformats.org/officeDocument/2006/relationships/hyperlink" Target="http://portal.mpsv.cz/upcr/"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mailto:posta@cssz.cz" TargetMode="External"/><Relationship Id="rId32" Type="http://schemas.openxmlformats.org/officeDocument/2006/relationships/theme" Target="theme/theme1.xml"/><Relationship Id="rId5" Type="http://schemas.openxmlformats.org/officeDocument/2006/relationships/hyperlink" Target="http://www.mvcr.cz/" TargetMode="Externa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hyperlink" Target="http://www.szrcr.cz/uploads/Dorucovaci_adresa.pdf" TargetMode="External"/><Relationship Id="rId10" Type="http://schemas.openxmlformats.org/officeDocument/2006/relationships/hyperlink" Target="http://www.mzcr.cz/" TargetMode="External"/><Relationship Id="rId19" Type="http://schemas.openxmlformats.org/officeDocument/2006/relationships/hyperlink" Target="http://www.mpo.c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hlizenidokn.cuzk.cz/" TargetMode="External"/><Relationship Id="rId14" Type="http://schemas.openxmlformats.org/officeDocument/2006/relationships/image" Target="media/image5.png"/><Relationship Id="rId22" Type="http://schemas.openxmlformats.org/officeDocument/2006/relationships/hyperlink" Target="http://www.cssz.cz/cz" TargetMode="External"/><Relationship Id="rId27" Type="http://schemas.openxmlformats.org/officeDocument/2006/relationships/hyperlink" Target="http://www.szrcr.cz/uploads/download/Co_mam_delat_kdyz_si_menim_adresu_trvaleho_pobytu_verze_c._3.pdf" TargetMode="External"/><Relationship Id="rId30" Type="http://schemas.openxmlformats.org/officeDocument/2006/relationships/hyperlink" Target="http://www.szrcr.cz/uploads/Hlaseni_adresy_pro_dorucovani_formular.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1483</Words>
  <Characters>8756</Characters>
  <Application>Microsoft Office Word</Application>
  <DocSecurity>0</DocSecurity>
  <Lines>72</Lines>
  <Paragraphs>20</Paragraphs>
  <ScaleCrop>false</ScaleCrop>
  <Company>Krajský úřad Ústeckého kraje</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svec.j</dc:creator>
  <cp:keywords/>
  <dc:description/>
  <cp:lastModifiedBy>svec.j</cp:lastModifiedBy>
  <cp:revision>3</cp:revision>
  <dcterms:created xsi:type="dcterms:W3CDTF">2015-01-28T08:46:00Z</dcterms:created>
  <dcterms:modified xsi:type="dcterms:W3CDTF">2015-01-28T08:48:00Z</dcterms:modified>
</cp:coreProperties>
</file>